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0B25F" w14:textId="629ED2CE" w:rsidR="00EA68B1" w:rsidRDefault="00040EE4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 w:rsidR="00EA68B1">
        <w:rPr>
          <w:b/>
          <w:i/>
          <w:noProof/>
          <w:sz w:val="28"/>
        </w:rPr>
        <w:tab/>
      </w:r>
      <w:r w:rsidR="00EA68B1">
        <w:rPr>
          <w:b/>
          <w:noProof/>
          <w:sz w:val="24"/>
        </w:rPr>
        <w:t>C4-2</w:t>
      </w:r>
      <w:r w:rsidR="007E745E">
        <w:rPr>
          <w:b/>
          <w:noProof/>
          <w:sz w:val="24"/>
        </w:rPr>
        <w:t>20</w:t>
      </w:r>
      <w:r w:rsidR="004750FF">
        <w:rPr>
          <w:b/>
          <w:noProof/>
          <w:sz w:val="24"/>
        </w:rPr>
        <w:t>260</w:t>
      </w:r>
      <w:bookmarkStart w:id="0" w:name="_GoBack"/>
      <w:bookmarkEnd w:id="0"/>
    </w:p>
    <w:p w14:paraId="6BA7CBBD" w14:textId="09D0C9B5" w:rsidR="00EA68B1" w:rsidRDefault="00040EE4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FCC1A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C975A6" w:rsidRPr="00C975A6">
        <w:rPr>
          <w:color w:val="000000"/>
          <w:lang w:val="en-US"/>
        </w:rPr>
        <w:t>Parameter adding in UEContext to support NSSRG feature</w:t>
      </w:r>
    </w:p>
    <w:p w14:paraId="65004854" w14:textId="2B5CBF6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</w:t>
      </w:r>
      <w:r w:rsidR="00C975A6">
        <w:rPr>
          <w:color w:val="000000"/>
        </w:rPr>
        <w:t>20058</w:t>
      </w:r>
      <w:r w:rsidR="00F07446" w:rsidRPr="00F07446">
        <w:rPr>
          <w:rFonts w:hint="eastAsia"/>
          <w:color w:val="000000"/>
        </w:rPr>
        <w:t>/</w:t>
      </w:r>
      <w:r w:rsidR="00C975A6" w:rsidRPr="00C975A6">
        <w:rPr>
          <w:color w:val="000000"/>
        </w:rPr>
        <w:t>S2-2109142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C975A6" w:rsidRPr="00C975A6">
        <w:rPr>
          <w:color w:val="000000"/>
          <w:lang w:val="en-US"/>
        </w:rPr>
        <w:t>Parameter adding in UEContext to support NSSRG feature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F07446" w:rsidRPr="00F07446">
        <w:rPr>
          <w:color w:val="000000"/>
        </w:rPr>
        <w:t>SA2</w:t>
      </w:r>
    </w:p>
    <w:p w14:paraId="56E3B846" w14:textId="2E84BBA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304C5BE5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975A6" w:rsidRPr="00C975A6">
        <w:rPr>
          <w:color w:val="000000"/>
        </w:rPr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186224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07446" w:rsidRPr="004803F3">
        <w:rPr>
          <w:b w:val="0"/>
          <w:color w:val="000000"/>
        </w:rPr>
        <w:t>SA2</w:t>
      </w:r>
    </w:p>
    <w:p w14:paraId="033E954A" w14:textId="4B8DC2D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0FE1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556D9D0" w:rsidR="0014163F" w:rsidRDefault="00082385" w:rsidP="0014163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</w:t>
      </w:r>
      <w:r w:rsidR="00F07446"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SA2</w:t>
      </w:r>
      <w:r w:rsidR="00F07446" w:rsidRPr="00D14135">
        <w:rPr>
          <w:rFonts w:ascii="Arial" w:hAnsi="Arial" w:cs="Arial"/>
          <w:lang w:val="en-US"/>
        </w:rPr>
        <w:t xml:space="preserve"> for their reply LS on </w:t>
      </w:r>
      <w:r w:rsidR="00C975A6" w:rsidRPr="00C975A6">
        <w:rPr>
          <w:rFonts w:ascii="Arial" w:hAnsi="Arial" w:cs="Arial"/>
          <w:lang w:val="en-US"/>
        </w:rPr>
        <w:t>Parameter adding in UEContext to support NSSRG feature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442FED49" w14:textId="66686F44" w:rsidR="0014163F" w:rsidRDefault="0014163F" w:rsidP="0014163F">
      <w:pPr>
        <w:rPr>
          <w:rFonts w:ascii="Arial" w:hAnsi="Arial" w:cs="Arial"/>
        </w:rPr>
      </w:pPr>
      <w:r>
        <w:rPr>
          <w:rFonts w:ascii="Arial" w:hAnsi="Arial" w:cs="Arial"/>
        </w:rPr>
        <w:t>CT4 would like to point out that</w:t>
      </w:r>
      <w:r w:rsidRPr="00885057">
        <w:rPr>
          <w:rFonts w:ascii="Arial" w:hAnsi="Arial" w:cs="Arial"/>
        </w:rPr>
        <w:t xml:space="preserve"> </w:t>
      </w:r>
      <w:r w:rsidR="00D84420" w:rsidRPr="00885057">
        <w:rPr>
          <w:rFonts w:ascii="Arial" w:hAnsi="Arial" w:cs="Arial"/>
        </w:rPr>
        <w:t xml:space="preserve">CT4 is still doing the normative work of </w:t>
      </w:r>
      <w:r w:rsidR="00D84420">
        <w:rPr>
          <w:rFonts w:ascii="Arial" w:hAnsi="Arial" w:cs="Arial"/>
        </w:rPr>
        <w:t>Rel-17</w:t>
      </w:r>
      <w:r w:rsidR="00D84420" w:rsidRPr="00885057">
        <w:rPr>
          <w:rFonts w:ascii="Arial" w:hAnsi="Arial" w:cs="Arial"/>
        </w:rPr>
        <w:t xml:space="preserve"> and </w:t>
      </w:r>
      <w:r w:rsidRPr="00885057">
        <w:rPr>
          <w:rFonts w:ascii="Arial" w:hAnsi="Arial" w:cs="Arial"/>
        </w:rPr>
        <w:t xml:space="preserve">all the parameters transferred from source AMF to the target AMF during inter-AMF mobility </w:t>
      </w:r>
      <w:r w:rsidR="00D84420" w:rsidRPr="00885057">
        <w:rPr>
          <w:rFonts w:ascii="Arial" w:hAnsi="Arial" w:cs="Arial"/>
        </w:rPr>
        <w:t>will be</w:t>
      </w:r>
      <w:r w:rsidRPr="00885057">
        <w:rPr>
          <w:rFonts w:ascii="Arial" w:hAnsi="Arial" w:cs="Arial"/>
        </w:rPr>
        <w:t xml:space="preserve"> defined in clause 6.1.6.2.25 of 3GPP TS 29.518</w:t>
      </w:r>
      <w:r w:rsidR="00D84420" w:rsidRPr="00885057">
        <w:rPr>
          <w:rFonts w:ascii="Arial" w:hAnsi="Arial" w:cs="Arial"/>
        </w:rPr>
        <w:t xml:space="preserve"> after frozen of Rel-17, which can be used for SA2 to update the </w:t>
      </w:r>
      <w:r w:rsidR="00D84420">
        <w:rPr>
          <w:rFonts w:ascii="Arial" w:hAnsi="Arial" w:cs="Arial"/>
        </w:rPr>
        <w:t xml:space="preserve">Rel-17 parameters in </w:t>
      </w:r>
      <w:r w:rsidR="00D84420" w:rsidRPr="00760924">
        <w:rPr>
          <w:rFonts w:ascii="Arial" w:hAnsi="Arial" w:cs="Arial"/>
        </w:rPr>
        <w:t>Table 5.2.2.2.2-1</w:t>
      </w:r>
      <w:r w:rsidR="00D84420">
        <w:rPr>
          <w:rFonts w:ascii="Arial" w:hAnsi="Arial" w:cs="Arial"/>
        </w:rPr>
        <w:t xml:space="preserve"> of TS 23.502.</w:t>
      </w:r>
    </w:p>
    <w:p w14:paraId="30EC7265" w14:textId="77777777" w:rsidR="00885057" w:rsidRPr="00885057" w:rsidRDefault="00885057" w:rsidP="0014163F">
      <w:pPr>
        <w:rPr>
          <w:rFonts w:ascii="Arial" w:hAnsi="Arial" w:cs="Arial"/>
        </w:rPr>
      </w:pPr>
    </w:p>
    <w:p w14:paraId="7635FAAD" w14:textId="47AFCB43" w:rsidR="00D84420" w:rsidRPr="00885057" w:rsidRDefault="005444CF" w:rsidP="008850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CT4 fully agrees with the understanding from SA2 and it would be better that SA2 only specifies the UE context parameters that shall be transferred between AMFs in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of TS 23.502</w:t>
      </w:r>
      <w:r w:rsidR="004D2E9D">
        <w:rPr>
          <w:rFonts w:ascii="Arial" w:hAnsi="Arial" w:cs="Arial"/>
        </w:rPr>
        <w:t xml:space="preserve"> from</w:t>
      </w:r>
      <w:r>
        <w:rPr>
          <w:rFonts w:ascii="Arial" w:hAnsi="Arial" w:cs="Arial"/>
        </w:rPr>
        <w:t xml:space="preserve"> Rel-18 and onwards.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0EBBC8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C3C58" w:rsidRPr="00CC3C5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22C2E42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CC3C58">
        <w:rPr>
          <w:rFonts w:ascii="Arial" w:hAnsi="Arial" w:cs="Arial"/>
        </w:rPr>
        <w:t>2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8DCF1BF" w14:textId="77777777" w:rsidR="00672B1A" w:rsidRPr="00F0649B" w:rsidRDefault="00672B1A" w:rsidP="0067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F32FE0F" w14:textId="77777777" w:rsidR="00672B1A" w:rsidRPr="00F0649B" w:rsidRDefault="00672B1A" w:rsidP="00672B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672B1A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672B1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3EF20" w14:textId="77777777" w:rsidR="00FF6ECF" w:rsidRDefault="00FF6ECF">
      <w:r>
        <w:separator/>
      </w:r>
    </w:p>
  </w:endnote>
  <w:endnote w:type="continuationSeparator" w:id="0">
    <w:p w14:paraId="7BB2E7C4" w14:textId="77777777" w:rsidR="00FF6ECF" w:rsidRDefault="00FF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4D896" w14:textId="77777777" w:rsidR="00FF6ECF" w:rsidRDefault="00FF6ECF">
      <w:r>
        <w:separator/>
      </w:r>
    </w:p>
  </w:footnote>
  <w:footnote w:type="continuationSeparator" w:id="0">
    <w:p w14:paraId="488C78E4" w14:textId="77777777" w:rsidR="00FF6ECF" w:rsidRDefault="00FF6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B1AA1"/>
    <w:rsid w:val="000C7929"/>
    <w:rsid w:val="000F4E43"/>
    <w:rsid w:val="00105899"/>
    <w:rsid w:val="0014163F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750FF"/>
    <w:rsid w:val="004803F3"/>
    <w:rsid w:val="004B43FA"/>
    <w:rsid w:val="004C3F5A"/>
    <w:rsid w:val="004C4DCF"/>
    <w:rsid w:val="004D2E9D"/>
    <w:rsid w:val="00507006"/>
    <w:rsid w:val="005444CF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85057"/>
    <w:rsid w:val="0089666F"/>
    <w:rsid w:val="0090241A"/>
    <w:rsid w:val="00923E7C"/>
    <w:rsid w:val="009E0CA3"/>
    <w:rsid w:val="009F6E85"/>
    <w:rsid w:val="00A7348D"/>
    <w:rsid w:val="00AD51BB"/>
    <w:rsid w:val="00AE489C"/>
    <w:rsid w:val="00B00371"/>
    <w:rsid w:val="00B144F4"/>
    <w:rsid w:val="00BF7EE2"/>
    <w:rsid w:val="00C165D1"/>
    <w:rsid w:val="00C6700A"/>
    <w:rsid w:val="00C975A6"/>
    <w:rsid w:val="00CA2FB0"/>
    <w:rsid w:val="00CC3C58"/>
    <w:rsid w:val="00D53018"/>
    <w:rsid w:val="00D676CD"/>
    <w:rsid w:val="00D84420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07446"/>
    <w:rsid w:val="00F12248"/>
    <w:rsid w:val="00F16C83"/>
    <w:rsid w:val="00F20CD7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2022-01-09T06:55:00Z</dcterms:created>
  <dcterms:modified xsi:type="dcterms:W3CDTF">2022-01-09T11:41:00Z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(3)vMJLvARpgh5USCOKf7yAbATayX8hdd+XqwzHFSMbnjOTILe4gLicXIeQ6PkVvto9Cu/xEj1F
7i4YRcsqwjpuZzHJ2zkNPV3cZLDBjFKs6TumPMSNPoiUXbPmYfAS3rJLwyd7nH6NZrMbEsjD
DxJmiDYcP83FV+e+sE+p9x+RerDXoVJ/1k7bQYbvAFeaVNMXwON8h/bZOpkDRjm2oFMl+sCT
KvKUtytFsO9CsDFNfI</vt:lpwstr>
  </property>
  <property fmtid="{D5CDD505-2E9C-101B-9397-08002B2CF9AE}" pid="3" name="_2015_ms_pID_7253431">
    <vt:lpwstr>hHbA+W9fIJiYcl02gn7fphRqpBOYxY+UNsBemUnsV/Vj4en7hvLJvA
E6DLJuWsg5R6R31zfJxzLWsoDtokpxiMsypNOcuDaVncWigqDpLcsJsGtFoTEMP+UwKSzuSn
BfEw8W2BFj7xJpLPm1Twzr+PhsUBulRaRknBRMxeS5ZW8b6L/D5yldW5ca5B6X6sHR0y5A9p
55+arBNl03e3JQBVfEULElb+fHqk6zAM+JNT</vt:lpwstr>
  </property>
  <property fmtid="{D5CDD505-2E9C-101B-9397-08002B2CF9AE}" pid="4" name="_2015_ms_pID_7253432">
    <vt:lpwstr>UA==</vt:lpwstr>
  </property>
</Properties>
</file>